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07" w:rsidRPr="00DE0D07" w:rsidRDefault="00DE0D07" w:rsidP="00DE0D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</w:t>
      </w:r>
    </w:p>
    <w:p w:rsidR="00DE0D07" w:rsidRDefault="00DE0D07" w:rsidP="00DE0D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DE0D07" w:rsidRPr="00DE0D07" w:rsidRDefault="00DE0D07" w:rsidP="00DE0D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ПРАВИТЕЛЬСТВО РОССИЙСКОЙ ФЕДЕРАЦИИ</w:t>
      </w:r>
    </w:p>
    <w:p w:rsidR="00DE0D07" w:rsidRPr="00DE0D07" w:rsidRDefault="00DE0D07" w:rsidP="00DE0D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ПОСТАНОВЛЕНИЕ</w:t>
      </w:r>
    </w:p>
    <w:p w:rsidR="00DE0D07" w:rsidRPr="00DE0D07" w:rsidRDefault="00DE0D07" w:rsidP="00DE0D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от 30 декабря 2013 года N 1312</w:t>
      </w:r>
    </w:p>
    <w:p w:rsidR="00DE0D07" w:rsidRPr="00DE0D07" w:rsidRDefault="00DE0D07" w:rsidP="00DE0D07">
      <w:pPr>
        <w:shd w:val="clear" w:color="auto" w:fill="FFFFFF"/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*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(с изменениями на 26 мая 2018 года)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____________________________________________________________________ 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Документ с изменениями, внесенными: 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4" w:history="1">
        <w:r w:rsidRPr="00DE0D07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9 апреля 2016 года N 290</w:t>
        </w:r>
      </w:hyperlink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www.pravo.gov.ru</w:t>
      </w:r>
      <w:proofErr w:type="spellEnd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14.04.2016, N 0001201604140019); 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5" w:history="1">
        <w:r w:rsidRPr="00DE0D07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21 июля 2017 года N 861</w:t>
        </w:r>
      </w:hyperlink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www.pravo.gov.ru</w:t>
      </w:r>
      <w:proofErr w:type="spellEnd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27.07.2017, N 0001201707270018); 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6" w:history="1">
        <w:r w:rsidRPr="00DE0D07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www.pravo.gov.ru</w:t>
      </w:r>
      <w:proofErr w:type="spellEnd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, 05.06.2018, N 0001201806050026). 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____________________________________________________________________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* Наименование в редакции, введенной в действие с 22 апреля 2016 года </w:t>
      </w:r>
      <w:hyperlink r:id="rId7" w:history="1">
        <w:r w:rsidRPr="00DE0D07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9 апреля 2016 года N 290</w:t>
        </w:r>
      </w:hyperlink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..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Правительство Российской Федерации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постановляет: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Утвердить прилагаемые Правила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проектов.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Start"/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(Абзац в редакции, введенной в действие с 22 апреля 2016 года </w:t>
      </w:r>
      <w:hyperlink r:id="rId8" w:history="1">
        <w:r w:rsidRPr="00DE0D07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постановлением Правительства Российской Федерации от 9 апреля 2016 года N 290</w:t>
        </w:r>
      </w:hyperlink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</w:t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DE0D07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Председатель Правительства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Российской Федерации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Д.Медведев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before="231" w:after="13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Правила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рамках...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УТВЕРЖДЕНЫ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постановлением Правительства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Российской Федерации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от 30 декабря 2013 года N 1312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(В редакции, введенной в действие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 4 августа 2017 года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hyperlink r:id="rId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</w:t>
        </w:r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br/>
          <w:t>Российской Федерации</w:t>
        </w:r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br/>
        </w:r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lastRenderedPageBreak/>
          <w:t>от 21 июля 2017 года N 861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 -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См. </w:t>
      </w:r>
      <w:hyperlink r:id="rId10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предыдущую редакцию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before="92" w:after="46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     Правила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(с изменениями на 26 мая 2018 года)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1. Настоящие Правила устанавливают порядок, цель и условия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(далее - организация, субсидия).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Целью предоставления субсидии является стимулирование инновационной деятельности организаций, основанной на проведении научно-исследовательских, опытно-конструкторских и технологических работ (далее - научно-исследовательские работы), непосредственно связанных с последующим созданием продукции в рамках реализации комплексных инвестиционных проектов по приоритетным направлениям гражданской промышленности.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2. Субсидии предоставляются организациям, прошедшим конкурсный отбор на право получения субсидии (далее - конкурс), на компенсацию части затрат на выполнение научно-исследовательских работ по приоритетным направлениям гражданской промышленности в рамках реализации такими организациями комплексных инвестиционных проектов.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3. Под приоритетными направлениями гражданской промышленности в настоящих Правилах понимаются соответствующие </w:t>
      </w:r>
      <w:hyperlink r:id="rId1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государственной программе Российской Федерации "Развитие промышленности и повышение ее конкурентоспособности"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(подпрограммам в рамках </w:t>
      </w:r>
      <w:hyperlink r:id="rId12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государственной программы Российской Федерации "Развитие промышленности и повышение ее конкурентоспособности"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направления промышленности, осуществление деятельности по которым способствует: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созданию новых экономически эффективных и экологически безопасных производств;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развитию промышленного производства в направлении увеличения выпуска высокотехнологичной продукции;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росту производительности труда за счет использования передовых технологий и современного оборудования;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созданию новых высокопроизводительных рабочих мест;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) созданию инновационной продукции и технологий, конкурентоспособных на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внутреннем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и внешних рынках;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е) повышению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энергоэффективности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и ресурсосбережения;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созданию перспективных производственных технологий;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з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) достижению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верхнеуровневых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показателей стратегического направления развития Российской Федерации "Международная кооперация и экспорт".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дополнительно включен с 13 июня 2018 года </w:t>
      </w:r>
      <w:hyperlink r:id="rId13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4.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Размер субсидии не может превышать 100 процентов указанных в пункте 8 настоящих Правил затрат организаций, направленных на выполнение научно-исследовательских работ в рамках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реализуемого инвестиционного проекта, указанного в договоре о предоставлении субсидии, заключенном между Министерством промышленности и торговли Российской Федерации и организациями в соответствии с типовой формой, утвержденной Министерством финансов Российской Федерации, на цели, указанные в пункте 1 настоящих Правил (далее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-договор о предоставлении субсидии).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5. Комплексными инвестиционными проектами (далее - инвестиционный проект) в целях настоящих Правил признаются инвестиционные проекты, отвечающие следующим критериям: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инвестиционный проект относится к технологическому направлению, определяемому в соответствии с пунктом 6 настоящих Правил (далее - технологическое направление), и направлен на производство продукции, удовлетворяющей требованиям, установленным в рамках соответствующего технологического направления (далее - инновационная продукция);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реализация инвестиционного проекта обеспечивает осуществление организацией комплекса мероприятий, направленных на решение задач и достижение целевых показателей и индикаторов </w:t>
      </w:r>
      <w:hyperlink r:id="rId14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государственной программы Российской Федерации "Развитие промышленности и повышение ее конкурентоспособности"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 в том числе показателя, связанного с интенсивностью затрат на технологические инновации организаций промышленного производства (доля затрат на технологические инновации в общем объеме затрат на производство отгруженных товаров, выполненных работ, услуг организаций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промышленного производства);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реализация инвестиционного проекта в обязательном порядке предусматривает не менее одного из следующих видов расходов инвестиционного характера: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приобретение или долгосрочная аренда земельных участков под создание новых производственных мощностей;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строительство, реконструкция и (или) ремонт производственных зданий и сооружений;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приобретение, сооружение, изготовление, доставка основных средств (в том числе таможенные пошлины и таможенные сборы), строительно-монтажные и пусконаладочные работы, приобретение и (или) аренда (лизинг) оборудования для осуществления деятельности, указанной в подпункте "а" настоящего пункта;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размер кредитных средств, привлекаемых организацией на реализацию инвестиционного проекта, составляет не более 80 процентов общей стоимости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общая стоимость инвестиционного проекта составляет от 100 млн. рублей до 2 млрд. рублей.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6. Министерством промышленности и торговли Российской Федерации формируется межведомственная комиссия по предоставлению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(далее - межведомственная комиссия).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Состав межведомственной комиссии актуализируется один раз в год и включает представителей заинтересованных федеральных органов исполнительной власти.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Межведомственная комиссия в соответствии со своими задачами осуществляет следующие функции: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определяет технологические направления по приоритетным направлениям гражданской промышленности и утверждает их перечень;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б) рассматривает отчет Министерства промышленности и торговли Российской Федерации о результатах проведения конкурсов и реализации инвестиционных проектов, на которые предоставлены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в) устанавливает требования к инновационной продукции в рамках каждого технологического направления.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Требования к инновационной продукции устанавливаются с учетом: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конкурентоспособности продукции на внутреннем и внешнем рынках;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наличия платежеспособного спроса на продукцию;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соответствия продукции современному уровню развития науки, техники и технологий;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рассматривает предложения заинтересованных федеральных органов исполнительной власти и организаций по вопросам определения технологических направлений и установления требований к инновационной продукции в рамках каждого технологического направления;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вырабатывает предложения по проведению конкурса, в том числе: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 максимальному размеру субсидии в рамках каждого технологического направления;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 требованиям к минимальному объему реализации инновационной продукции, на производство которой направлен инвестиционный проект;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вырабатывает позицию относительно возможности (невозможности) изменения срока реализации инвестиционного проекта, а также показателей (индикаторов) результативности реализации инвестиционного проекта в соответствии с пунктом 32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подготавливает предложения, направленные на совершенствование механизма предоставления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7. Положение о межведомственной комиссии, ее состав, а также порядок определения технологических направлений, порядок установления требований к инновационной продукции, порядок утверждения и опубликования перечня технологических направлений утверждаются Министерством промышленности и торговли Российской Федерации.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8. В настоящих Правилах под затратами организаций на осуществление научно-исследовательских работ понимаются следующие виды затрат, возникающих не ранее календарного года получения субсидии, в том числе до заключения договора о предоставлении субсидии: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оплата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страхованию, отчисления на страховые взносы по обязательному пенсионному страхованию - в размере не более 70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материальные расходы, непосредственно связанные с выполнением научно-исследовательских работ, в том числе расходы на подготовку лабораторного, исследовательского комплекса, закупку исследовательского, испытательного, контрольно-измерительного и вспомогательного оборудования, закупку комплектующих изделий, сырья и материалов, изготовление опытных образцов, макетов и стендов - в размере не более 70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накладные расходы (кроме представительских расходов, оплаты проезда к месту отдыха, организации и участия в выставках), непосредственно связанные с выполнением научно-исследовательских работ, - в размере не более 50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15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 xml:space="preserve">постановлением Правительства </w:t>
        </w:r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lastRenderedPageBreak/>
          <w:t>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стоимость работ (услуг) сторонних организаций, привлекаемых для выполнения научно-исследовательских работ, - в размере не более 70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расходы на проведение испытаний опытных образцов, созданных в результате выполнения научно-исследовательских работ, - в размере не более 50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расходы, связанные с арендой технологического оборудования и оснастки, необходимых для выполнения научно-исследовательских работ, - в размере не более 60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затраты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работ, - в размере не более 50 процентов.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9. Установленные пунктом 8 настоящих Правил предельные объемы затрат относятся к общей структуре компенсируемых расходов на научно-исследовательские и опытно-конструкторские работы.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16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Не допускается использование средств субсидий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расходных материалов и комплектующих изделий, связанных с достижением целей предоставления субсидии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,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определенных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настоящими Правилами.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Расчет размера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определяется согласно приложению N 1.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10.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Министерство промышленности и торговли Российской Федерации проводит конкурс для каждого технологического направления в соответствии с утвержденным перечнем технологических направлений не более одного раза в квартал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федерального бюджета на цель, указанную в пункте 1 настоящих Правил, с учетом обязательств, принятых Министерством промышленности и торговли Российской Федерации по ранее заключенным договорам о предоставлении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Министерство промышленности и торговли Российской Федерации не вправе принимать решение о проведении конкурса в случае, если объемы бюджетных ассигнований, предусмотренные федеральным законом о федеральном бюджете на соответствующий финансовый год на предоставление субсидии, и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бюджета, не превышают размера субсидии, предусмотренного для уплаты в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текущем финансовом году организациям по ранее заключенным договорам о предоставлении субсидии.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Конкурс не проводится для технологических направлений, в рамках которых были заключены и действуют договоры о предоставлении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11. В процессе обеспечения подготовки проведения конкурса Министерство промышленности и торговли Российской Федерации с учетом предложений межведомственной комиссии: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а) определяет целевые индикаторы реализации инвестиционных проектов для каждого технологического направления и указывает их в конкурсной документации;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утверждает порядок определения максимального размера субсидии по каждому технологическому направлению, определяет в установленном порядке максимальный размер субсидии по каждому технологическому направлению;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образует конкурсную комиссию, утверждает ее состав и положение о ней;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разрабатывает конкурсную документацию с указанием ожидаемых результатов для каждого технологического направления;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1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разрабатывает проект договора о предоставлении субсидии и размещает его на своем сайте в информационно-телекоммуникационной сети "Интернет" (далее - сеть "Интернет") в составе конкурсной документации;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е) определяет максимальный размер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субсидии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по каждому технологическому направлению исходя из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цель, указанную в пункте 1 настоящих Правил.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11_1.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Обмен документами при подаче заявлений о предоставлении субсидии и при проведении конкурса в соответствии с настоящими Правилами осуществляется через государственную информационную систему промышленности в соответствии с регламентом электронного взаимодействия российских организаций и Министерства промышленности и торговли Российской Федерации в государственной информационной системе промышленности при проведении конкурсных процедур на право предоставления субсидий из федерального бюджета российским организациям на компенсацию части затрат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и при подаче заявлений о предоставлении субсидий, утвержденным Министерством промышленности и торговли Российской Федерации (далее - регламент).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(Пункт дополнительно включен с 13 июня 2018 года </w:t>
      </w:r>
      <w:hyperlink r:id="rId18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12. В целях проведения конкурса по каждому технологическому направлению Министерство промышленности и торговли Российской Федерации не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позднее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чем за 30 дней до дня проведения конкурса размещает на своем сайте в сети "Интернет" извещение о проведении конкурса с указанием сроков его проведения, регламент и конкурсную документацию, подготовленную по форме, утвержденной Министерством промышленности и торговли Российской Федерации, содержащей следующую информацию: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1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порядок, дата начала и дата окончания срока подачи заявок об участии в конкурсе;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20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подпункт утратил силу с 13 июня 2018 года - </w:t>
      </w:r>
      <w:hyperlink r:id="rId2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порядок внесения изменений в конкурсную документацию;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требования к содержанию и оформлению бизнес-плана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порядок, дата и время подведения итогов конкурса;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22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наименование технологического направления;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максимальный размер субсидии по технологическому направлению;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з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требования к инновационной продукции в рамках технологического направления;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и) форма отчета о реализации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к) форма отчета об итогах реализации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л) методика проведения экспертизы результатов реализации инвестиционного проекта,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предусматривающая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том числе обязательства организации по внесению актуальных данных в электронные формы отчетности в государственной информационной системе промышленности.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13. Для участия в конкурсе организация должна на первое число месяца, предшествующего месяцу, в котором планируется заключение договора о предоставлении субсидии, соответствовать следующим требованиям: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б) у организации должна отсутствовать просроченная задолженность по возврату в федеральный бюджет субсидий, бюджетных инвестиций,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предоставленных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том числе в соответствии с иными правовыми актами, и иная просроченная задолженность перед федеральным бюджетом;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23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организация не должна находиться в процессе реорганизации, ликвидации или банкротства;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офшорные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зоны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в отношении таких юридических лиц, в совокупности превышает 50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организация не должна получать средства из федерального бюджета в соответствии с иными нормативными правовыми актами на выполнение научно-исследовательских работ, соответствующих теме конкурса;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организация должна располагать достаточной для выполнения научно-исследовательских работ численностью квалифицированного персонала, а также необходимым количеством зданий, строений, сооружений, технологического и испытательного оборудования для реализации инвестиционного проекта.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14. Для участия в конкурсе организации представляют в Министерство промышленности и торговли Российской Федерации через государственную информационную систему промышленности в соответствии с регламентом следующие документы: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24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 xml:space="preserve">постановлением Правительства </w:t>
        </w:r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lastRenderedPageBreak/>
          <w:t>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заявка об участии в конкурсе, подписанная руководителем организации, с указанием наименования, организационно-правовой формы и места нахождения организации, целевых индикаторов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25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справка о наличии в штате организации, а также в штате его дочерних, зависимых, управляемых обществ квалифицированного персонала численностью не менее 50 человек, в том числе высококвалифицированного персонала (персонала, имеющего высшее образование соответствующего профиля и опыт работы в предметной области деятельности от 5 лет) численностью не менее 10 человек, подписанная руководителем организации.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При расчете наличия численности персонала может быть учтен персонал, числящийся в штате обществ, по отношению к которым организация является дочерним, зависимым или управляемым обществом, при условии документально подтвержденного согласия со стороны каждого такого общества на использование соответствующего персонала в целях проведения научно-исследовательских работ;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подписанный руководителем организации расчет обеспеченности организации технологическим и испытательным оборудованием для реализации инвестиционного проекта, принадлежащим на праве собственности или ином законном основании участнику конкурса или его дочерним, зависимым, управляемым обществам, находящимся на территории Российской Федерации, с балансовой стоимостью не менее 75 млн. рублей для инвестиционного проекта общей стоимостью до 500 млн. рублей, не менее 100 млн. рублей для инвестиционного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проекта общей стоимостью до 1 млрд. рублей, не менее 150 млн. рублей для инвестиционного проекта общей стоимостью до 2 млрд. рублей.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 расчете обеспеченности организации технологическим и испытательным оборудованием может быть учтено такое оборудование, принадлежащее обществам, по отношению к которым организация является дочерним, зависимым или управляемым обществом, при условии документально подтвержденного согласия со стороны каждого такого общества на использование в целях реализации инвестиционного проекта его технологического и испытательного оборудования, находящегося на территории Российской Федерации;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копии документов, подтверждающих наличие у организации необходимых для реализации инвестиционного проекта и принадлежащих ей на праве собственности или ином законном основании зданий, строений и сооружений общей площадью не менее 500 кв. метров,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сведения об этих зданиях, строениях и сооружениях);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справка, подтверждающая, что в отношении организации в соответствии с законодательством Российской Федерации не возбуждено дело о несостоятельности (банкротстве), подписанная руководителем и главным бухгалтером организации (иным должностным лицом, на которое возложено ведение бухгалтерского учета);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бизнес-план инвестиционного проекта, составленный в соответствии с требованиями и формой, которые определены конкурсной документацией (не требуется в случае реализации инвестиционного проекта в рамках специального инвестиционного контракта, заключенного организацией в соответствии с </w:t>
      </w:r>
      <w:hyperlink r:id="rId26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Правилами заключения специальных инвестиционных контрактов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 утвержденными </w:t>
      </w:r>
      <w:hyperlink r:id="rId2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16 июля 2015 г. N 708 "О специальных инвестиционных контрактах для отдельных отраслей промышленности"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ж) заверенные заявителем копии договоров и (или) соглашений о намерениях с потенциальными потребителями инновационной продукции, подтверждающие суммарный спрос в течение времени реализации инвестиционного проекта, - не менее 50 процентов всего объема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инновационной продукции, на производство которой направлен инвестиционный проект;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з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составленная в соответствии с установленной конкурсной документацией формой справка о реализации инвестиционного проекта за счет собственных средств, подписанная руководителем организации, либо гарантийные письма инвесторов (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соинвесторов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и (или) кредитных организаций или государственной корпорации "Банк развития и внешнеэкономической деятельности (Внешэкономбанк)" о готовности предоставить финансовое обеспечение расходов, связанных с реализацией инвестиционного проекта, в размере, составляющем не более 80 процентов общего объема инвестиций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инвестиционный проект, письма кредитных организаций или государственной корпорации "Банк развития и внешнеэкономической деятельности (Внешэкономбанк)" в случае необходимости привлечения кредитных средств для реализации инвестиционного проекта, содержащие сведения об эффективности планируемых инвестиций в инвестиционный проект и подготовленные на основе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результатов анализа бизнес-плана инвестиционного проекта организации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и) справка на первое число месяца, предшествующего месяцу, в котором планируется заключение договора о предоставлении субсидии,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подписанная руководителем и главным бухгалтером организации (иным должностным лицом, на которое возложено ведение бухгалтерского учета);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к) справка на первое число месяца, предшествующего месяцу, в котором планируется заключение договора о предоставлении субсидии, об отсутствии задолженности по возврату в федеральный бюджет субсидий, бюджетных инвестиций,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предоставленных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том числе в соответствии с иными правовыми актами, и иной просроченной задолженности перед федеральным бюджетом, подписанная руководителем и главным бухгалтером организации (иным должностным лицом, на которое возложено ведение бухгалтерского учета);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(Подпункт в редакции, введенной в действие с 13 июня 2018 года </w:t>
      </w:r>
      <w:hyperlink r:id="rId28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л) справка,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</w:t>
      </w:r>
      <w:proofErr w:type="spellStart"/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офшорные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зоны) в отношении таких юридических лиц, в совокупности превышает 50 процентов, подписанная руководителем организации;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м) справка, подтверждающая, что организация не получает из федерального бюджета средства на выполнение научно-исследовательских работ по теме, указанной в заявке об участии в конкурсе, в соответствии с иными нормативными правовыми актами, подписанная руководителем и главным бухгалтером организации (иным должностным лицом, на которое возложено ведение бухгалтерского учета).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15. К рассмотрению могут приниматься проекты, реализация которых начата организацией самостоятельно до проведения конкурса. В этом случае для участия в конкурсе дополнительно к перечню указанных документов организация представляет сведения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об осуществлении на день подачи заявки об участии в конкурсе работ по реализации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проекта за счет собственных и (или) заемных средств с указанием объема фактически выполненных работ и осуществленных затрат.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(Пункт в редакции, введенной в действие с 13 июня 2018 года </w:t>
      </w:r>
      <w:hyperlink r:id="rId2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16. В рамках обеспечения проведения конкурса Министерство промышленности и торговли Российской Федерации: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а) подпункт утратил силу с 13 июня 2018 года - </w:t>
      </w:r>
      <w:hyperlink r:id="rId30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подпункт утратил силу с 13 июня 2018 года - </w:t>
      </w:r>
      <w:hyperlink r:id="rId3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проверяет в течение 5 рабочих дней со дня окончания приема заявок об участии в конкурсе соответствие заявок об участии в конкурсе условиям, установленным конкурсной документацией, по результатам чего принимает решение о допуске организации к участию в конкурсе либо об отказе в допуске организации к участию в конкурсе. Решение об отказе в допуске организации к участию в конкурсе может быть принято в случаях: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(Абзац в редакции, введенной в действие с 13 июня 2018 года </w:t>
      </w:r>
      <w:hyperlink r:id="rId32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несоответствия представленных организацией документов требованиям, указанным в пункте 13 настоящих Правил, или непредставления (представления не в полном объеме) документов, указанных в пункте 14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выявления фактов недостоверности представленных организацией сведений в документах, указанных в пункте 14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отсутствия в заявке об участии в конкурсе положительных значений хотя бы одного из критериев, указанных в подпункте "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" пункта 16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несоответствия представленных организацией сведений в документах требованиям, указанным в пункте 5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(Абзац дополнительно включен с 13 июня 2018 года </w:t>
      </w:r>
      <w:hyperlink r:id="rId33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извещает организацию о принятии решения о допуске организации к участию в конкурсе либо решения об отказе в допуске организации к участию в конкурсе в соответствии с регламентом;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34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в течение 10 рабочих дней со дня окончания приема заявок об участии в конкурсе подготавливает оценку рейтинга заявок об участии в конкурсе, представленных организациями, в соответствии с методикой определения рейтинга заявок об участии в конкурсном отборе на право получения субсидии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промышленности в рамках реализации такими организациями комплексных инвестиционных проектов, которая приведена в приложении N 2, по следующим критериям: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35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объем реализации инновационной продукции, которая будет создана с использованием результатов научно-исследовательских работ, полученных в ходе реализации инвестиционного проекта, рассчитанный как объем средств (рублей, в ценах и условиях календарного года, соответствующего дате подачи заявки об участии в конкурсе), вырученных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исполнителем и (или) третьими лицами от реализации продукции инвестиционного проекта в течение действия договора о предоставлении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размер субсидии, запрашиваемой на реализацию научно-исследовательских работ в рамках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количество технологий мирового уровня, опытную разработку которых планируется провести или передать в производство в ходе реализации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br/>
        <w:t>количество патентов и (или) секретов производства (ноу-хау), которые планируется получить в ходе реализации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срок реализации инвестиционного проекта (срок, в который предполагается обеспечить достижение всех заявленных целевых показателей инвестиционного проекта);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количество вновь создаваемых высокопроизводительных рабочих мест в рамках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бюджетная эффективность реализации инвестиционного проекта, определяемая как отношение суммы налоговых отчислений в федеральный бюджет от реализации инновационной продукции, заявленной участником конкурса, к сумме субсидий, заявленной участником конкурса в рамках реализации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коэффициент диверсификации поставок, определяемый как отношение объема реализации инновационной продукции согласно абзацу второму настоящего подпункта к объему реализации инновационной продукции резидентам Российской Федерации;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(Абзац дополнительно включен с 13 июня 2018 года </w:t>
      </w:r>
      <w:hyperlink r:id="rId36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присваивает каждой заявке об участии в конкурсе порядковый номер в рамках каждого технологического направления в порядке уменьшения ее рейтинга. Заявке об участии в конкурсе с самым высоким рейтингом присваивается первый номер. В случае наличия заявок об участии в конкурсе в рамках одного технологического направления, имеющих одинаковый рейтинг, меньший порядковый номер присваивается заявке об участии в конкурсе, которая поступила ранее других заявок об участии в конкурсе, имеющих одинаковый рейтинг;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обеспечивает рассмотрение заявок об участии в конкурсе на заседании конкурсной комиссии.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17. Конкурсная комиссия не позднее 3 рабочих дней, следующих за днем окончания проведения оценки заявок об участии в конкурсе, проводит сопоставление заявок об участии в конкурсе и определяет победителя конкурса по каждому технологическому направлению.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Победителем конкурса в рамках технологического направления признается организация, заявке об участии в конкурсе которой присвоен первый порядковый номер в соответствии с подпунктом "е" пункта 16 настоящих Правил.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В случае если в рамках технологического направления подана только одна заявка об участии в конкурсе, победителем признается организация, представившая указанную заявку.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18. По итогам работы конкурсной комиссии составляется протокол оценки и сопоставления заявок об участии в конкурсе, в котором указываются: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технологическое направление, по которому проведен конкурс;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наименование участника конкурса;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рейтинг для каждой заявки и присвоенный заявке порядковый номер.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19. Протокол оценки и сопоставления заявок об участии в конкурсе размещается на сайте Министерства промышленности и торговли Российской Федерации в сети "Интернет" не позднее 1 рабочего дня, следующего за днем его подписания.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20.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Министерство промышленности и торговли Российской Федерации в течение 30 рабочих дней со дня размещения протокола оценки и сопоставления заявок об участии в конкурсе на своем сайте в сети "Интернет" заключает с организациями, признанными победителями конкурса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в рамках каждого технологического направления, договоры о предоставлении субсидии на срок реализации инвестиционных проектов, указанных в бизнес-планах инвестиционных проектов.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21. В случае отказа организации заключить договор о предоставлении субсидии Министерство промышленности и торговли Российской Федерации заключает договор о предоставлении субсидии с организацией, занявшей место в рейтинге, следующее за местом, занятым организацией, отказавшейся от заключения договора о предоставлении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22. В договоре о предоставлении субсидии предусматриваются в том числе: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общая стоимость инвестиционного проекта, в том числе стоимость научно-исследовательских работ;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требование к ведению организацией раздельного учета затрат по инвестиционному проекту;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план-график финансового обеспечения расходов, связанных с реализацией инвестиционного проекта, включая основные направления затрат, с выделением статей затрат, на компенсацию которых будет направлена субсидия по этапам реализации инвестиционного проекта, а также размеры заемных сре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дств в сл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учае их привлечения для целей финансирования инвестиционного проекта. Каждый этап реализации инвестиционного проекта (отчетный период реализации инвестиционного проекта) не может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составлять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начиная со дня начала реализации инвестиционного проекта более 6 месяцев;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перечень документов, указанных в пункте 24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показатели результативности использования субсидии, предусматривающие достижение целевых индикаторов реализации инвестиционного проекта, заявленных организацией в заявке об участии в конкурсе;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согласие организации на осуществление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организацией порядка, целей и условий предоставления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порядок возврата сумм субсидии, использованных организацией, в случае установления по итогам проверок, проведенных Министерством промышленности и торговли Российской Федерации и уполномоченными органами государственного финансового контроля, факта нарушения целей и условий предоставления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з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) порядок применения и расчет размера штрафных санкций при установлении по итогам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реализации инвестиционного проекта фактов отклонения итоговых значений показателей результативности использования субсидии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от значений, установленных договором о предоставлении субсидии и относящихся к существенным условиям его выполнения;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и) порядок, сроки и формы представления отчета о реализации инвестиционного проекта, отчета о достижении показателей результативности использования субсидии, а также отчета об итогах реализации инвестиционного проекта,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предусматривающие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том числе обязательства организации по внесению актуальных данных в электронные формы отчетности в государственную информационную систему промышленности;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к) порядок и сроки представления отчета о целевом использовании субсидии, предоставляемой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по форме, утвержденной Министерством промышленности и торговли Российской Федерации, предусматривающие в том числе обязательства организации по внесению актуальных данных в электронные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формы отчетности в государственную информационную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систему промышленности;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л) план-график реализации инвестиционного проекта, включающий в себя ключевые события реализации инвестиционного проекта, динамику показателей результативности использования субсидии по этапам реализации инвестиционного проекта. Каждый этап реализации инвестиционного проекта (отчетный период реализации инвестиционного проекта) не может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составлять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начиная со дня начала реализации инвестиционного проекта более 6 месяцев;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м) условия одностороннего расторжения Министерством промышленности и торговли Российской Федерации договора о предоставлении субсидии в случае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недостижения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организацией в течение 12 месяцев реализации инвестиционного проекта ключевых событий реализации, указанных в плане-графике реализации инвестиционного проекта, включая условия возврата предоставленных организации сумм субсидии с уплатой пени за каждый день пользования средствами субсидии, размер которой составляет одну трехсотую ключевой ставки Центрального банка Российской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Федерации, действующей на день уплаты;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н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обязательство организации о включении в договоры (соглашения), заключаемые с лицами, являющимися поставщиками (подрядчиками, исполнителями) по договорам (соглашениям), заключенным в целях исполнения обязательств по данному договору, условия о согласии на проведение Министерством промышленности и торговли Российской Федерации и органами государственного финансового контроля проверок соблюдения порядка, целей и условий предоставления субсидий.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дополнительно включен с 13 июня 2018 года </w:t>
      </w:r>
      <w:hyperlink r:id="rId3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23.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цель, указанную в пункте 1 настоящих Правил.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24. Для получения субсидии организация, с которой заключен договор о предоставлении субсидии, представляет в Министерство промышленности и торговли Российской Федерации не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позднее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чем за 30 дней до очередной даты предоставления субсидии, указанной в плане-графике финансового обеспечения расходов, связанных с реализацией инвестиционного проекта, следующие документы: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заявление о предоставлении субсидии, составленное в произвольной форме и подписанное руководителем организации, с указанием размера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отчет о целевом использовании субсидии, предоставляемой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(в случае первичного предоставления субсидии - не требуется);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справка, составленная в соответствии с методикой проведения экспертизы результатов реализации инвестиционного проекта, утверждаемой Министерством промышленности и торговли Российской Федерации, подписанная руководителем и главным бухгалтером организации (иным должностным лицом, на которое возложена обязанность ведения бухгалтерского учета) (в случае первичного предоставления субсидии - не требуется);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г) справка налогового органа на последнюю отчетную дату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по собственной инициативе Министерство промышленности и торговли Российской Федерации запрашивает его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самостоятельно;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в случае первичного предоставления субсидии - не требуется);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38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отчет о реализации инвестиционного проекта по форме, установленной договором о предоставлении субсидии (в случае первичного предоставления субсидии - не требуется);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3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е) отчет о достижении показателей результативности использования субсидии по форме, установленной договором о предоставлении субсидии (в случае первичного предоставления субсидии - не требуется);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40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ж) справка, подписанная руководителем и главным бухгалтером организации (иным должностным лицом, на которое возложена обязанность ведения бухгалтерского учета), подтверждающая, что организация не получает из федерального бюджета средства на цели, указанные в пункте 1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з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 выписка со счетов бухгалтерского учета, на котором ведется раздельный учет расходов на реализацию инвестиционного проекта, с приложением документов, подтверждающих привлечение средств организации на реализацию инвестиционного проекта (в случае первичного предоставления субсидии - при наличии указанных расходов);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(Подпункт в редакции, введенной в действие с 13 июня 2018 года </w:t>
      </w:r>
      <w:hyperlink r:id="rId4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и) выписка из лицевого счета организации, открытого в территориальном органе Федерального казначейства, с которого осуществлялась компенсация затрат, связанных с реализацией инвестиционного проекта, или в случае субсидирования понесенных до получения субсидии расходов по предмету договора о предоставлении субсидии с организацией, выписка из расчетного счета организации, с которого осуществлялось финансовое обеспечение затрат, связанных с реализацией инвестиционного проекта, заверенная кредитной организацией (в случае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первичного предоставления субсидии при наличии указанных расходов).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25.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Министерство промышленности и торговли Российской Федерации регистрирует документы, указанные в пункте 24 настоящих Правил, в порядке их поступления в специальном журнале (журнал N 2), который должен быть прошнурован, постранично пронумерован и скреплен печатью Министерства, рассматривает их в течение 20 рабочих дней и принимает решение о предоставлении субсидии или решение об отказе в предоставлении субсидии по следующим основаниям: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несоответствие представленных документов требованиям, установленным пунктом 24 настоящих Правил, или непредставление (представление не в полном объеме) указанных документов;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недостоверность информации, представленной в документах в соответствии с пунктом 24 настоящих Правил;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наличие у организации просроченной задолженности по денежным обязательствам перед Российской Федерацией, определенным в </w:t>
      </w:r>
      <w:hyperlink r:id="rId42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статье 93_4 Бюджетного кодекса Российской Федерации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г)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недостижение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ключевых событий реализации инвестиционного проекта, установленных планом-графиком реализации инвестиционного проекта.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 xml:space="preserve">26. Перечисление субсидии организации осуществляется Федеральным казначейством в пределах сумм, необходимых для оплаты денежных обязательств по расходам организации, источником финансирования которых является субсидия.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Перечисление средств субсидии осуществляется на лицевой счет организации, открытый в территориальном органе Федерального казначейства для учета средств организаций, не являющихся участниками бюджетного процесса, не позднее второго рабочего дня, следующего за днем представления организацией в территориальный орган Федерального казначейства платежных документов на оплату денежных обязательств, после их проверки в соответствии с порядком санкционирования целевых средств.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27.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28. По итогам реализации инвестиционного проекта организация, с которой заключен договор о предоставлении субсидии, представляет в Министерство промышленности и торговли Российской Федерации не позднее 1 июля года, следующего за годом окончания реализации инвестиционного проекта, отчет об итогах реализации инвестиционного проекта по форме, предусмотренной договором о предоставлении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В случае непредставления такого отчета в указанный срок организация уплачивает пени, размер которой составляет одну трехсотую ключевой ставки, установленной Центральным банком Российской Федерации, суммы предоставленной субсидии за каждый день просрочки.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29. Министерство промышленности и торговли Российской Федерации и уполномоченные органы государственного финансового контроля обязаны осуществлять проверки соблюдения организациями порядка, целей и условий предоставления субсидий.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 случае установления по итогам проверок, проведенных Министерством промышленности и торговли Российской Федерации и (или) органом государственного финансового контроля, факта нарушения условий, установленных при предоставлении субсидий,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в течение 30 рабочих дней со дня получения организацией соответствующего требования Министерства и (или) органа государственного финансового контроля.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30.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 случае если по итогам реализации инвестиционного проекта хотя бы один из показателей результативности использования субсидии, указанных в договоре о предоставлении субсидии, составляет менее 100 процентов, к организации применяются штрафные санкции, направленные на взыскание сумм, использованных организацией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реализации такими организациями комплексных инвестиционных проектов.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Расчет размера штрафных санкций, применяемых к российским организациям, получившим субсидии из федерального бюджета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проектов, определяется согласно приложению N 3.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31.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Организация не более одного раза в год вправе обратиться в Министерство промышленности и торговли Российской Федерации с мотивированным заявлением об изменении срока реализации инвестиционного проекта, а также о внесении изменений в план-график, включающий ключевые события, и (или) показатели (индикаторы) эффективности реализации инвестиционного проекта, указанные в договоре о предоставлении субсидии, в следующих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случаях: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а) введение торговых и экономических санкций в отношении российских юридических и (или) физических лиц, оказывающих влияние на реализацию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б) изменение валютных курсов более чем на 30 процентов с фиксацией измененного уровня в течение 6 месяцев, предшествующих обращению;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в) изменение стоимости сырья, оборудования, комплектующих, занимающих в объеме затрат инвестиционного проекта более 65 процентов, на мировых товарных рынках более чем на 15 процентов с фиксацией измененной стоимости в течение 6 месяцев, предшествующих обращению;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г) введение Правительством Российской Федерации иных мер, ограничивающих закупку иностранного оборудования, сырья и комплектующих, указанных в бизнес-плане инвестиционного проекта и повлекших изменение срока реализации инвестиционного проекта, плана-графика, включающего ключевые события, и (или) показателей (индикаторов) эффективности реализации инвестиционного проекта, указанных в договоре о предоставлении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32. В случае наступления одного или нескольких событий, указанных в пункте 31 настоящих Правил, организация направляет в Министерство промышленности и торговли Российской Федерации мотивированное заявление, подписанное руководителем организации, с приложением к нему документов (копий документов), заверенных в установленном порядке, свидетельствующих о наступлении указанных событий.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 заявлению также прилагаются расчеты, обосновывающие степень влияния наступивших событий на показатели (индикаторы) эффективности реализации инвестиционного проекта, указанные в договоре о предоставлении субсидии, а также отчет о реализации проекта по состоянию на день подачи заявления и проект внесения изменений в бизнес-план инвестиционного проекта и план-график реализации инвестиционного проекта, установленный в договоре о предоставлении субсидии.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 получении такого заявления Министерство промышленности и торговли Российской Федерации выносит вопрос о рассмотрении указанного заявления на заседание межведомственной комиссии и с учетом позиции межведомственной комиссии принимает решение о возможности (невозможности) изменения срока реализации инвестиционного проекта, а также показателей (индикаторов) результативности реализации инвестиционного проекта (но не более чем на 15 процентов), указанных в договоре о предоставлении субсидии.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before="231" w:after="13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>Приложение N 1. Расчет размера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промышленности...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Приложение N 1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 Правилам предоставления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субсидий из федерального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бюджета российским организациям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 компенсацию части затрат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 проведение научно-исследовательских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и опытно-конструкторских работ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 приоритетным направлениям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гражданской промышленности в рамках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реализации такими организациями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     </w:t>
      </w: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br/>
        <w:t xml:space="preserve">Расчет размера субсидий из федерального бюджета российским организациям на компенсацию </w:t>
      </w: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lastRenderedPageBreak/>
        <w:t>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(с изменениями на 26 мая 2018 года)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Размер субсидий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9.7pt;height:14.3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)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2145030" cy="228600"/>
            <wp:effectExtent l="19050" t="0" r="7620" b="0"/>
            <wp:docPr id="2" name="Рисунок 2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26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2.9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расходы на оплату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страхованию, отчисления на страховые взносы по обязательному пенсионному страхованию;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27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расходы, непосредственно связанные с выполнением научно-исследовательских работ, в том числе расходы на подготовку лабораторного, исследовательского комплекса, закупку исследовательского, испытательного, контрольно-измерительного и вспомогательного оборудования, закупку комплектующих изделий, сырья и материалов, изготовление опытных образцов, макетов и стендов;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28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накладные расходы (кроме представительских расходов, оплаты проезда к месту отдыха, организации и участия в выставках), непосредственно связанные с выполнением научно-исследовательских работ;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44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29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расходы на оплату работ (услуг) сторонних организаций, привлекаемых для выполнения научно-исследовательских работ;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0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расходы на проведение испытаний опытных образцов, созданных в результате выполнения научно-исследовательских работ;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1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расходы по договорам аренды технологического оборудования и оснастки, необходимых для выполнения научно-исследовательских работ;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2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работ.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before="231" w:after="13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 xml:space="preserve">Приложение N 2. Методика определения рейтинга заявок </w:t>
      </w:r>
      <w:proofErr w:type="gramStart"/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>об участии в конкурсном отборе на право получения субсидий из федерального бюджета российским организациям на компенсацию</w:t>
      </w:r>
      <w:proofErr w:type="gramEnd"/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 xml:space="preserve"> части затрат на проведение научно-исследовательских...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Приложение N 2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 Правилам предоставления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субсидий из федерального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бюджета российским организациям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на компенсацию части затрат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 проведение научно-исследовательских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и опытно-конструкторских работ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 приоритетным направлениям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гражданской промышленности в рамках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реализации такими организациями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комплексных инвестиционных проектов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     </w:t>
      </w: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br/>
        <w:t xml:space="preserve">Методика определения рейтинга заявок </w:t>
      </w:r>
      <w:proofErr w:type="gramStart"/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об участии в конкурсном отборе на право получения субсидий из федерального бюджета российским организациям на компенсацию</w:t>
      </w:r>
      <w:proofErr w:type="gramEnd"/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 xml:space="preserve">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(с изменениями на 26 мая 2018 года)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1.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Настоящая методика определяет рейтинг заявок об участии в конкурсном отборе на право получения субсидий (далее - конкурс)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(далее - субсидия) по критериям, предусмотренным подпунктом "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д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" пункта 16 Правил предоставления субсидий из федерального бюджета российским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проектов, утвержденных постановлением Правительства Российской Федерации от 30 декабря 2013 г. N 1312 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промышленности в рамках реализации такими организациями комплексных инвестиционных проектов".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2. Рейтинг заявки об участии в конкурсе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45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3851275" cy="486410"/>
            <wp:effectExtent l="19050" t="0" r="0" b="0"/>
            <wp:docPr id="10" name="Рисунок 10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4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3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объема реализации продукции, удовлетворяющей требованиям, установленным в рамках соответствующего технологического направления (далее - инновационная продукция);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4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объема реализации инновационной продукции, значимость которого составляет 25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(Абзац в редакции, введенной в действие с 13 июня 2018 года </w:t>
      </w:r>
      <w:hyperlink r:id="rId48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5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.9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размера запрашиваемой 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6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размера запрашиваемой субсидии, значимость которого составляет 30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7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технологий мирового уровня, опытную разработку которых планируется провести или передать в производство в ходе реализации комплексного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8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5.7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технологий мирового уровня, опытную разработку которых планируется провести или передать в производство в ходе реализации комплексного инвестиционного проекта, значимость которого составляет 5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39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.9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патентов и (или) секретов производства (ноу-хау), которые планируется получить в ходе реализации комплексного инвестиционного проекта;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0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.9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патентов и (или) секретов производства (ноу-хау), которые планируется получить в ходе реализации комплексного инвестиционного проекта, значимость которого составляет 10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1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.9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заявляемого срока реализации комплексного инвестиционного проекта;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2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7.1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заявляемого срока реализации комплексного инвестиционного проекта, значимость которого составляет 5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3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3.55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вновь создаваемых высокопроизводительных рабочих мест;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4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вновь создаваемых высокопроизводительных рабочих мест, значимость которого составляет 10 процентов;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5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бюджетной эффективности реализации комплексного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6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бюджетной эффективности реализации комплексного инвестиционного проекта, значимость которого составляет 10 процентов;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 xml:space="preserve"> -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коэффициента диверсификации поставок;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(Абзац дополнительно включен с 13 июня 2018 года </w:t>
      </w:r>
      <w:hyperlink r:id="rId4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удельный вес рейтинга, присуждаемого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диверсификации поставок, значимость которого составляет 5 процентов.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t>(Абзац дополнительно включен с 13 июня 2018 года </w:t>
      </w:r>
      <w:hyperlink r:id="rId50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3.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объема реализации инновационной продукции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5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7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1248410" cy="457200"/>
            <wp:effectExtent l="19050" t="0" r="8890" b="0"/>
            <wp:docPr id="26" name="Рисунок 26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8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предложение i-го участника конкурса по объему реализации инновационной продукции, которая будет создана с использованием результатов научно-исследовательских, опытно-конструкторских и технологических работ;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49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6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минимальный объем реализации инновационной продукции, которая будет создана с использованием результатов научно-исследовательских, опытно-конструкторских и технологических работ, установленный в конкурсной документации;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0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7.7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максимальный объем реализации инновационной продукции, которая будет создана с использованием результатов научно-исследовательских, опытно-конструкторских и технологических работ, заявленный одним из участников конкурса.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4.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размера запрашиваемой субсидии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53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1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.9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1154430" cy="427990"/>
            <wp:effectExtent l="19050" t="0" r="7620" b="0"/>
            <wp:docPr id="31" name="Рисунок 31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2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9.1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начальный (максимальный) размер субсидии (цена лота), установленный в конкурсной документации;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3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5.7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предложение i-го участника конкурса по размеру запрашиваемой субсидии.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5.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технологий мирового уровня, опытную разработку которых планируется провести или передать в производство в ходе реализации комплексного инвестиционного проекта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55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4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715010" cy="427990"/>
            <wp:effectExtent l="19050" t="0" r="8890" b="0"/>
            <wp:docPr id="35" name="Рисунок 35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5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2.9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предложение i-го участника конкурса по количеству технологий мирового уровня, опытную разработку которых планируется провести или передать в производство в ходе реализации комплексного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6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6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максимальное количество технологий мирового уровня, опытную разработку которых планируется провести или передать в производство в ходе реализации комплексного инвестиционного проекта, заявленное одним из участников конкурса.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6.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патентов и (или) секретов производства (ноу-хау), которые планируется получить в ходе реализации комплексного инвестиционного проекта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5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7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.9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691515" cy="427990"/>
            <wp:effectExtent l="19050" t="0" r="0" b="0"/>
            <wp:docPr id="39" name="Рисунок 39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8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2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предложение i-го участника конкурса по количеству патентов и (или) секретов производства (ноу-хау), которые планируется получить в ходе реализации комплексного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59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4.9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максимальное количество патентов и (или) секретов производства (ноу-хау), которые планируется получить в ходе реализации комплексного инвестиционного проекта, заявленное одним из участников конкурса.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7.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заявляемого срока реализации комплексного инвестиционного проекта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59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1436370" cy="427990"/>
            <wp:effectExtent l="19050" t="0" r="0" b="0"/>
            <wp:docPr id="42" name="Рисунок 42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0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7.7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начальный (максимальный) срок реализации комплексного инвестиционного проекта (лота), установленный в конкурсной документации;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1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предложение i-го участника конкурса по заявляемому сроку реализации комплексного инвестиционного проекта.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8.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количества вновь создаваемых высокопроизводительных рабочих мест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61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2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3.55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773430" cy="427990"/>
            <wp:effectExtent l="19050" t="0" r="7620" b="0"/>
            <wp:docPr id="46" name="Рисунок 46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lastRenderedPageBreak/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3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8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предложение i-го участника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конкурса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по количеству вновь создаваемых высокопроизводительных рабочих мест;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386715" cy="228600"/>
            <wp:effectExtent l="19050" t="0" r="0" b="0"/>
            <wp:docPr id="48" name="Рисунок 48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максимальное количество вновь создаваемых высокопроизводительных рабочих мест, заявленных одним из участников конкурса.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9.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бюджетной эффективности реализации комплексного инвестиционного проекта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64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4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0.3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=</w:t>
      </w: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732790" cy="427990"/>
            <wp:effectExtent l="19050" t="0" r="0" b="0"/>
            <wp:docPr id="50" name="Рисунок 50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5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3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показатель бюджетной эффективности i-го участника конкурса;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6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27.7pt;height:18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максимальный показатель бюджетной эффективности, заявленный одним из участников конкурса. 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 xml:space="preserve">10. Рейтинг, присуждаемый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i-й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заявке по критерию, касающемуся коэффициента диверсификации поставок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(), 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определяется по формуле: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1131570" cy="445770"/>
            <wp:effectExtent l="19050" t="0" r="0" b="0"/>
            <wp:docPr id="53" name="Рисунок 53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где: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коэффициент диверсификации поставок i-го участника конкурса;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максимальный коэффициент диверсификации поставок, заявленный одним из участников конкурса.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(Пункт дополнительно включен с 13 июня 2018 года </w:t>
      </w:r>
      <w:hyperlink r:id="rId67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DE0D07" w:rsidRPr="00DE0D07" w:rsidRDefault="00DE0D07" w:rsidP="00DE0D07">
      <w:pPr>
        <w:shd w:val="clear" w:color="auto" w:fill="FFFFFF"/>
        <w:spacing w:before="231" w:after="13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 xml:space="preserve">Приложение N 3. Расчет размера штрафных санкций, применяемых к российским организациям, получившим субсидии из федерального бюджета на компенсацию части затрат на проведение научно-исследовательских и опытно-конструкторских работ </w:t>
      </w:r>
      <w:proofErr w:type="gramStart"/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>по</w:t>
      </w:r>
      <w:proofErr w:type="gramEnd"/>
      <w:r w:rsidRPr="00DE0D07">
        <w:rPr>
          <w:rFonts w:ascii="Times New Roman" w:eastAsia="Times New Roman" w:hAnsi="Times New Roman" w:cs="Times New Roman"/>
          <w:color w:val="4C4C4C"/>
          <w:spacing w:val="1"/>
          <w:lang w:eastAsia="ru-RU"/>
        </w:rPr>
        <w:t xml:space="preserve"> приоритетным...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Приложение N 3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 Правилам предоставления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субсидий из федерального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бюджета российским организациям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 компенсацию части затрат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на проведение научно-исследовательских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и опытно-конструкторских работ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по приоритетным направлениям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гражданской промышленности в рамках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реализации такими организациями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lastRenderedPageBreak/>
        <w:t>     </w:t>
      </w:r>
      <w:r w:rsidRPr="00DE0D07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br/>
        <w:t>Расчет размера штрафных санкций, применяемых к российским организациям, получившим субсидии из федерального бюджета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(с изменениями на 26 мая 2018 года)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Размер штрафных санкций (А), применяемых к российским организациям, получившим субсидии из федерального бюджета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(тыс. рублей) (далее - субсидия), определяется по формуле: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(Абзац в редакции, введенной в действие с 13 июня 2018 года </w:t>
      </w:r>
      <w:hyperlink r:id="rId68" w:history="1">
        <w:r w:rsidRPr="00DE0D07">
          <w:rPr>
            <w:rFonts w:ascii="Times New Roman" w:eastAsia="Times New Roman" w:hAnsi="Times New Roman" w:cs="Times New Roman"/>
            <w:color w:val="00466E"/>
            <w:spacing w:val="1"/>
            <w:u w:val="single"/>
            <w:lang w:eastAsia="ru-RU"/>
          </w:rPr>
          <w:t>постановлением Правительства Российской Федерации от 26 мая 2018 года N 599</w:t>
        </w:r>
      </w:hyperlink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proofErr w:type="gramEnd"/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noProof/>
          <w:color w:val="2D2D2D"/>
          <w:spacing w:val="1"/>
          <w:lang w:eastAsia="ru-RU"/>
        </w:rPr>
        <w:drawing>
          <wp:inline distT="0" distB="0" distL="0" distR="0">
            <wp:extent cx="2051685" cy="504190"/>
            <wp:effectExtent l="19050" t="0" r="5715" b="0"/>
            <wp:docPr id="54" name="Рисунок 54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,</w:t>
      </w:r>
    </w:p>
    <w:p w:rsidR="00DE0D07" w:rsidRPr="00DE0D07" w:rsidRDefault="00DE0D07" w:rsidP="00DE0D07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где: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7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2.9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достигнутое значение i-го показателя результативности использования субсидии, указанного в договоре о предоставлении субсидии, на дату окончания срока реализации комплексного инвестиционного проекта;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8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4.75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плановое значение i-го показателя результативности использования субсидии, указанного в договоре о предоставлении субсидии;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69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5.7pt;height:17.1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 - </w:t>
      </w:r>
      <w:proofErr w:type="gram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удельный вес рейтинга согласно приложению N 1 к Правилам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проектов, утвержденным постановлением Правительства Российской Федерации от 30 декабря 2013 г. N 1312 "Об утверждении Правил предоставления субсидий из федерального бюджета российским</w:t>
      </w:r>
      <w:proofErr w:type="gram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проектов", по соответствующему </w:t>
      </w:r>
      <w:proofErr w:type="spellStart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i-му</w:t>
      </w:r>
      <w:proofErr w:type="spellEnd"/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показателю;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pict>
          <v:shape id="_x0000_i1070" type="#_x0000_t75" alt=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с изменениями на 26 мая 2018 года)" style="width:12.9pt;height:14.3pt"/>
        </w:pic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 - объем субсидии, использованной организацией в рамках реализации комплексного инвестиционного проекта на момент окончания срока реализации такого проекта (тыс. рублей).</w:t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  <w:r w:rsidRPr="00DE0D0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В случае если достигнутое значение i-го показателя результативности использования субсидии больше планового значения i-го показателя результативности использования субсидии, для целей расчета штрафных санкций достигнутое значение i-го показателя принимается равным плановому значению i-го показателя.</w:t>
      </w:r>
    </w:p>
    <w:p w:rsidR="003D5E39" w:rsidRPr="00DE0D07" w:rsidRDefault="003D5E39" w:rsidP="00DE0D07">
      <w:pPr>
        <w:rPr>
          <w:rFonts w:ascii="Times New Roman" w:hAnsi="Times New Roman" w:cs="Times New Roman"/>
        </w:rPr>
      </w:pPr>
    </w:p>
    <w:sectPr w:rsidR="003D5E39" w:rsidRPr="00DE0D07" w:rsidSect="003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D07"/>
    <w:rsid w:val="003D5E39"/>
    <w:rsid w:val="00407017"/>
    <w:rsid w:val="004F0186"/>
    <w:rsid w:val="00D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9"/>
  </w:style>
  <w:style w:type="paragraph" w:styleId="1">
    <w:name w:val="heading 1"/>
    <w:basedOn w:val="a"/>
    <w:link w:val="10"/>
    <w:uiPriority w:val="9"/>
    <w:qFormat/>
    <w:rsid w:val="00DE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7588300" TargetMode="External"/><Relationship Id="rId18" Type="http://schemas.openxmlformats.org/officeDocument/2006/relationships/hyperlink" Target="http://docs.cntd.ru/document/557588300" TargetMode="External"/><Relationship Id="rId26" Type="http://schemas.openxmlformats.org/officeDocument/2006/relationships/hyperlink" Target="http://docs.cntd.ru/document/420289300" TargetMode="External"/><Relationship Id="rId39" Type="http://schemas.openxmlformats.org/officeDocument/2006/relationships/hyperlink" Target="http://docs.cntd.ru/document/557588300" TargetMode="External"/><Relationship Id="rId21" Type="http://schemas.openxmlformats.org/officeDocument/2006/relationships/hyperlink" Target="http://docs.cntd.ru/document/557588300" TargetMode="External"/><Relationship Id="rId34" Type="http://schemas.openxmlformats.org/officeDocument/2006/relationships/hyperlink" Target="http://docs.cntd.ru/document/557588300" TargetMode="External"/><Relationship Id="rId42" Type="http://schemas.openxmlformats.org/officeDocument/2006/relationships/hyperlink" Target="http://docs.cntd.ru/document/901714433" TargetMode="External"/><Relationship Id="rId47" Type="http://schemas.openxmlformats.org/officeDocument/2006/relationships/hyperlink" Target="http://docs.cntd.ru/document/557588300" TargetMode="External"/><Relationship Id="rId50" Type="http://schemas.openxmlformats.org/officeDocument/2006/relationships/hyperlink" Target="http://docs.cntd.ru/document/557588300" TargetMode="External"/><Relationship Id="rId55" Type="http://schemas.openxmlformats.org/officeDocument/2006/relationships/hyperlink" Target="http://docs.cntd.ru/document/557588300" TargetMode="External"/><Relationship Id="rId63" Type="http://schemas.openxmlformats.org/officeDocument/2006/relationships/image" Target="media/image9.jpeg"/><Relationship Id="rId68" Type="http://schemas.openxmlformats.org/officeDocument/2006/relationships/hyperlink" Target="http://docs.cntd.ru/document/557588300" TargetMode="External"/><Relationship Id="rId7" Type="http://schemas.openxmlformats.org/officeDocument/2006/relationships/hyperlink" Target="http://docs.cntd.ru/document/420348674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7588300" TargetMode="External"/><Relationship Id="rId29" Type="http://schemas.openxmlformats.org/officeDocument/2006/relationships/hyperlink" Target="http://docs.cntd.ru/document/5575883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7588300" TargetMode="External"/><Relationship Id="rId11" Type="http://schemas.openxmlformats.org/officeDocument/2006/relationships/hyperlink" Target="http://docs.cntd.ru/document/499091753" TargetMode="External"/><Relationship Id="rId24" Type="http://schemas.openxmlformats.org/officeDocument/2006/relationships/hyperlink" Target="http://docs.cntd.ru/document/557588300" TargetMode="External"/><Relationship Id="rId32" Type="http://schemas.openxmlformats.org/officeDocument/2006/relationships/hyperlink" Target="http://docs.cntd.ru/document/557588300" TargetMode="External"/><Relationship Id="rId37" Type="http://schemas.openxmlformats.org/officeDocument/2006/relationships/hyperlink" Target="http://docs.cntd.ru/document/557588300" TargetMode="External"/><Relationship Id="rId40" Type="http://schemas.openxmlformats.org/officeDocument/2006/relationships/hyperlink" Target="http://docs.cntd.ru/document/557588300" TargetMode="External"/><Relationship Id="rId45" Type="http://schemas.openxmlformats.org/officeDocument/2006/relationships/hyperlink" Target="http://docs.cntd.ru/document/557588300" TargetMode="External"/><Relationship Id="rId53" Type="http://schemas.openxmlformats.org/officeDocument/2006/relationships/hyperlink" Target="http://docs.cntd.ru/document/557588300" TargetMode="External"/><Relationship Id="rId58" Type="http://schemas.openxmlformats.org/officeDocument/2006/relationships/image" Target="media/image6.jpeg"/><Relationship Id="rId66" Type="http://schemas.openxmlformats.org/officeDocument/2006/relationships/image" Target="media/image11.jpeg"/><Relationship Id="rId5" Type="http://schemas.openxmlformats.org/officeDocument/2006/relationships/hyperlink" Target="http://docs.cntd.ru/document/436752519" TargetMode="External"/><Relationship Id="rId15" Type="http://schemas.openxmlformats.org/officeDocument/2006/relationships/hyperlink" Target="http://docs.cntd.ru/document/557588300" TargetMode="External"/><Relationship Id="rId23" Type="http://schemas.openxmlformats.org/officeDocument/2006/relationships/hyperlink" Target="http://docs.cntd.ru/document/557588300" TargetMode="External"/><Relationship Id="rId28" Type="http://schemas.openxmlformats.org/officeDocument/2006/relationships/hyperlink" Target="http://docs.cntd.ru/document/557588300" TargetMode="External"/><Relationship Id="rId36" Type="http://schemas.openxmlformats.org/officeDocument/2006/relationships/hyperlink" Target="http://docs.cntd.ru/document/557588300" TargetMode="External"/><Relationship Id="rId49" Type="http://schemas.openxmlformats.org/officeDocument/2006/relationships/hyperlink" Target="http://docs.cntd.ru/document/557588300" TargetMode="External"/><Relationship Id="rId57" Type="http://schemas.openxmlformats.org/officeDocument/2006/relationships/hyperlink" Target="http://docs.cntd.ru/document/557588300" TargetMode="External"/><Relationship Id="rId61" Type="http://schemas.openxmlformats.org/officeDocument/2006/relationships/hyperlink" Target="http://docs.cntd.ru/document/557588300" TargetMode="External"/><Relationship Id="rId10" Type="http://schemas.openxmlformats.org/officeDocument/2006/relationships/hyperlink" Target="http://docs.cntd.ru/document/542604081" TargetMode="External"/><Relationship Id="rId19" Type="http://schemas.openxmlformats.org/officeDocument/2006/relationships/hyperlink" Target="http://docs.cntd.ru/document/557588300" TargetMode="External"/><Relationship Id="rId31" Type="http://schemas.openxmlformats.org/officeDocument/2006/relationships/hyperlink" Target="http://docs.cntd.ru/document/557588300" TargetMode="External"/><Relationship Id="rId44" Type="http://schemas.openxmlformats.org/officeDocument/2006/relationships/hyperlink" Target="http://docs.cntd.ru/document/557588300" TargetMode="External"/><Relationship Id="rId52" Type="http://schemas.openxmlformats.org/officeDocument/2006/relationships/image" Target="media/image3.jpeg"/><Relationship Id="rId60" Type="http://schemas.openxmlformats.org/officeDocument/2006/relationships/image" Target="media/image7.jpeg"/><Relationship Id="rId65" Type="http://schemas.openxmlformats.org/officeDocument/2006/relationships/image" Target="media/image10.jpeg"/><Relationship Id="rId4" Type="http://schemas.openxmlformats.org/officeDocument/2006/relationships/hyperlink" Target="http://docs.cntd.ru/document/420348674" TargetMode="External"/><Relationship Id="rId9" Type="http://schemas.openxmlformats.org/officeDocument/2006/relationships/hyperlink" Target="http://docs.cntd.ru/document/436752519" TargetMode="External"/><Relationship Id="rId14" Type="http://schemas.openxmlformats.org/officeDocument/2006/relationships/hyperlink" Target="http://docs.cntd.ru/document/499091753" TargetMode="External"/><Relationship Id="rId22" Type="http://schemas.openxmlformats.org/officeDocument/2006/relationships/hyperlink" Target="http://docs.cntd.ru/document/557588300" TargetMode="External"/><Relationship Id="rId27" Type="http://schemas.openxmlformats.org/officeDocument/2006/relationships/hyperlink" Target="http://docs.cntd.ru/document/420289300" TargetMode="External"/><Relationship Id="rId30" Type="http://schemas.openxmlformats.org/officeDocument/2006/relationships/hyperlink" Target="http://docs.cntd.ru/document/557588300" TargetMode="External"/><Relationship Id="rId35" Type="http://schemas.openxmlformats.org/officeDocument/2006/relationships/hyperlink" Target="http://docs.cntd.ru/document/557588300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docs.cntd.ru/document/557588300" TargetMode="External"/><Relationship Id="rId56" Type="http://schemas.openxmlformats.org/officeDocument/2006/relationships/image" Target="media/image5.jpeg"/><Relationship Id="rId64" Type="http://schemas.openxmlformats.org/officeDocument/2006/relationships/hyperlink" Target="http://docs.cntd.ru/document/557588300" TargetMode="External"/><Relationship Id="rId69" Type="http://schemas.openxmlformats.org/officeDocument/2006/relationships/image" Target="media/image12.jpeg"/><Relationship Id="rId8" Type="http://schemas.openxmlformats.org/officeDocument/2006/relationships/hyperlink" Target="http://docs.cntd.ru/document/420348674" TargetMode="External"/><Relationship Id="rId51" Type="http://schemas.openxmlformats.org/officeDocument/2006/relationships/hyperlink" Target="http://docs.cntd.ru/document/5575883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91753" TargetMode="External"/><Relationship Id="rId17" Type="http://schemas.openxmlformats.org/officeDocument/2006/relationships/hyperlink" Target="http://docs.cntd.ru/document/557588300" TargetMode="External"/><Relationship Id="rId25" Type="http://schemas.openxmlformats.org/officeDocument/2006/relationships/hyperlink" Target="http://docs.cntd.ru/document/557588300" TargetMode="External"/><Relationship Id="rId33" Type="http://schemas.openxmlformats.org/officeDocument/2006/relationships/hyperlink" Target="http://docs.cntd.ru/document/557588300" TargetMode="External"/><Relationship Id="rId38" Type="http://schemas.openxmlformats.org/officeDocument/2006/relationships/hyperlink" Target="http://docs.cntd.ru/document/557588300" TargetMode="External"/><Relationship Id="rId46" Type="http://schemas.openxmlformats.org/officeDocument/2006/relationships/image" Target="media/image2.jpeg"/><Relationship Id="rId59" Type="http://schemas.openxmlformats.org/officeDocument/2006/relationships/hyperlink" Target="http://docs.cntd.ru/document/557588300" TargetMode="External"/><Relationship Id="rId67" Type="http://schemas.openxmlformats.org/officeDocument/2006/relationships/hyperlink" Target="http://docs.cntd.ru/document/557588300" TargetMode="External"/><Relationship Id="rId20" Type="http://schemas.openxmlformats.org/officeDocument/2006/relationships/hyperlink" Target="http://docs.cntd.ru/document/557588300" TargetMode="External"/><Relationship Id="rId41" Type="http://schemas.openxmlformats.org/officeDocument/2006/relationships/hyperlink" Target="http://docs.cntd.ru/document/557588300" TargetMode="External"/><Relationship Id="rId54" Type="http://schemas.openxmlformats.org/officeDocument/2006/relationships/image" Target="media/image4.jpeg"/><Relationship Id="rId62" Type="http://schemas.openxmlformats.org/officeDocument/2006/relationships/image" Target="media/image8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12033</Words>
  <Characters>68592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ARPKPP</dc:creator>
  <cp:lastModifiedBy>ARPKPP</cp:lastModifiedBy>
  <cp:revision>1</cp:revision>
  <dcterms:created xsi:type="dcterms:W3CDTF">2019-04-26T11:23:00Z</dcterms:created>
  <dcterms:modified xsi:type="dcterms:W3CDTF">2019-04-26T11:35:00Z</dcterms:modified>
</cp:coreProperties>
</file>